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EAE8">
      <w:pPr>
        <w:pStyle w:val="2"/>
        <w:rPr>
          <w:rFonts w:hint="eastAsia"/>
          <w:sz w:val="36"/>
        </w:rPr>
      </w:pPr>
      <w:bookmarkStart w:id="0" w:name="_Toc172809302"/>
      <w:r>
        <w:rPr>
          <w:rFonts w:hint="eastAsia"/>
          <w:sz w:val="36"/>
        </w:rPr>
        <w:t>政府购买服务合同参考文本</w:t>
      </w:r>
      <w:bookmarkEnd w:id="0"/>
    </w:p>
    <w:p w14:paraId="1951A152">
      <w:pPr>
        <w:widowControl/>
        <w:adjustRightInd w:val="0"/>
        <w:spacing w:line="500" w:lineRule="exact"/>
        <w:jc w:val="center"/>
        <w:rPr>
          <w:rFonts w:hint="eastAsia" w:ascii="宋体" w:hAnsi="宋体" w:eastAsia="宋体" w:cs="宋体"/>
          <w:color w:val="000000"/>
          <w:kern w:val="36"/>
          <w:szCs w:val="24"/>
        </w:rPr>
      </w:pPr>
      <w:r>
        <w:rPr>
          <w:rFonts w:hint="eastAsia" w:ascii="宋体" w:hAnsi="宋体" w:eastAsia="宋体" w:cs="宋体"/>
          <w:color w:val="000000"/>
          <w:kern w:val="36"/>
          <w:szCs w:val="24"/>
        </w:rPr>
        <w:t>（仅供参考，购买人应按本单位及服务项目具体情况对合同条款予以调整）</w:t>
      </w:r>
    </w:p>
    <w:p w14:paraId="6BA694DD">
      <w:pPr>
        <w:widowControl/>
        <w:adjustRightInd w:val="0"/>
        <w:spacing w:line="500" w:lineRule="exact"/>
        <w:jc w:val="center"/>
        <w:rPr>
          <w:rFonts w:ascii="仿宋_GB2312" w:hAnsi="Calibri" w:eastAsia="仿宋_GB2312" w:cs="Times New Roman"/>
          <w:sz w:val="32"/>
          <w:szCs w:val="32"/>
        </w:rPr>
      </w:pPr>
      <w:r>
        <w:rPr>
          <w:rFonts w:hint="eastAsia" w:ascii="仿宋_GB2312" w:hAnsi="Calibri" w:eastAsia="仿宋_GB2312" w:cs="Times New Roman"/>
          <w:sz w:val="30"/>
          <w:szCs w:val="30"/>
        </w:rPr>
        <w:t>合同编号：</w:t>
      </w:r>
    </w:p>
    <w:p w14:paraId="70A9C676">
      <w:pPr>
        <w:ind w:left="420" w:hanging="420" w:hangingChars="200"/>
        <w:rPr>
          <w:rFonts w:ascii="Times New Roman" w:hAnsi="Times New Roman" w:eastAsia="宋体" w:cs="Times New Roman"/>
          <w:szCs w:val="24"/>
        </w:rPr>
      </w:pPr>
    </w:p>
    <w:p w14:paraId="3C2F9786">
      <w:pPr>
        <w:spacing w:line="520" w:lineRule="exact"/>
        <w:ind w:firstLine="560" w:firstLineChars="200"/>
        <w:rPr>
          <w:rFonts w:ascii="仿宋_GB2312" w:hAnsi="Calibri" w:eastAsia="仿宋_GB2312" w:cs="Times New Roman"/>
          <w:sz w:val="28"/>
          <w:szCs w:val="28"/>
        </w:rPr>
      </w:pPr>
      <w:bookmarkStart w:id="1" w:name="_Hlk96330001"/>
      <w:bookmarkStart w:id="2" w:name="_Hlk95396667"/>
      <w:bookmarkStart w:id="3" w:name="_Hlk89182375"/>
      <w:bookmarkStart w:id="4" w:name="_Hlk82586927"/>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乙方所提供的服务其来源应符合国家的有关规定，服务的内容、要求、服务质量等详见招标文件和投标文件</w:t>
      </w:r>
    </w:p>
    <w:p w14:paraId="7DDE97D6">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5F73D74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u w:val="single"/>
        </w:rPr>
        <w:t>应至少包括服务的主要内容、服务标准、质量要求等，可参考采购文件中的采购需求。</w:t>
      </w:r>
      <w:r>
        <w:rPr>
          <w:rFonts w:hint="eastAsia" w:ascii="仿宋_GB2312" w:hAnsi="Calibri" w:eastAsia="仿宋_GB2312" w:cs="Times New Roman"/>
          <w:sz w:val="28"/>
          <w:szCs w:val="28"/>
        </w:rPr>
        <w:t xml:space="preserve">         </w:t>
      </w:r>
    </w:p>
    <w:p w14:paraId="7A17171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p>
    <w:p w14:paraId="0A89039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455C057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。（服务期限超过一年的应明确经验收考核通过后乙方继续开展下一年服务）</w:t>
      </w:r>
    </w:p>
    <w:p w14:paraId="764A4386">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781BC6D9">
      <w:pPr>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服务完成后一次性验收（一般适用于简单的一次性服务项目）</w:t>
      </w:r>
    </w:p>
    <w:p w14:paraId="5CA87C8C">
      <w:pPr>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分期验收（一般适用于经常性服务项目，应明确期数）</w:t>
      </w:r>
    </w:p>
    <w:p w14:paraId="46BF01AB">
      <w:pPr>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分段验收（一般适用于有阶段性成果的服务项目，应明确阶段性成果形成的标准）</w:t>
      </w:r>
    </w:p>
    <w:p w14:paraId="28AFCBCC">
      <w:pPr>
        <w:spacing w:line="520" w:lineRule="exact"/>
        <w:ind w:firstLine="560" w:firstLineChars="200"/>
        <w:rPr>
          <w:rFonts w:ascii="Times New Roman" w:hAnsi="Times New Roman" w:eastAsia="宋体" w:cs="Times New Roman"/>
          <w:sz w:val="28"/>
          <w:szCs w:val="28"/>
          <w:u w:val="single"/>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其它</w:t>
      </w:r>
      <w:r>
        <w:rPr>
          <w:rFonts w:hint="eastAsia" w:ascii="仿宋_GB2312" w:hAnsi="Calibri" w:eastAsia="仿宋_GB2312" w:cs="Times New Roman"/>
          <w:sz w:val="28"/>
          <w:szCs w:val="28"/>
          <w:u w:val="single"/>
        </w:rPr>
        <w:t xml:space="preserve">                      </w:t>
      </w:r>
    </w:p>
    <w:p w14:paraId="7B2A204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验收标准（可另附验收办法或方案）：</w:t>
      </w:r>
    </w:p>
    <w:p w14:paraId="1A265051">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4AE3F03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25826D8E">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u w:val="single"/>
        </w:rPr>
        <w:t xml:space="preserve">                                                     </w:t>
      </w:r>
    </w:p>
    <w:p w14:paraId="17B1ADB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16610F42">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u w:val="single"/>
        </w:rPr>
        <w:t xml:space="preserve">                                                     </w:t>
      </w:r>
    </w:p>
    <w:p w14:paraId="2493140C">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3974C54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w:t>
      </w:r>
    </w:p>
    <w:p w14:paraId="4FC057F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73EC321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服务完成后一次性支付（一般适用于简单的一次性服务项目）</w:t>
      </w:r>
    </w:p>
    <w:p w14:paraId="474AAF3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分期支付（一般适用于经常性服务项目）</w:t>
      </w:r>
    </w:p>
    <w:p w14:paraId="1730AB6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共分</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期支付：</w:t>
      </w:r>
    </w:p>
    <w:p w14:paraId="412D0AED">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第1期支付</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日至</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日期间费用，金额为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w:t>
      </w:r>
    </w:p>
    <w:p w14:paraId="780904E1">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第2期支付</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日至</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日期间费用，金额为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w:t>
      </w:r>
    </w:p>
    <w:p w14:paraId="0D0D2354">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w:t>
      </w:r>
    </w:p>
    <w:p w14:paraId="4C10FD18">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第</w:t>
      </w:r>
      <w:r>
        <w:rPr>
          <w:rFonts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rPr>
        <w:t>N</w:t>
      </w:r>
      <w:r>
        <w:rPr>
          <w:rFonts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期支付</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日至</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日期间费用，金额为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w:t>
      </w:r>
    </w:p>
    <w:p w14:paraId="42CA68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预付款方式</w:t>
      </w:r>
    </w:p>
    <w:p w14:paraId="6A1E57F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预付款比例为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（一般不超过30%），金额为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w:t>
      </w:r>
    </w:p>
    <w:p w14:paraId="2922660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剩余款项采用：</w:t>
      </w: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服务完成后一次性支付</w:t>
      </w:r>
    </w:p>
    <w:p w14:paraId="27B090E1">
      <w:pPr>
        <w:spacing w:line="520" w:lineRule="exact"/>
        <w:ind w:firstLine="1960" w:firstLineChars="70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分期支付，共分</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期支付：</w:t>
      </w:r>
    </w:p>
    <w:p w14:paraId="3BB2D105">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第1期支付时间为</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日或达到</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支付条件，金额为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w:t>
      </w:r>
    </w:p>
    <w:p w14:paraId="56097904">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第1期支付时间为</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日或达到</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支付条件，金额为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w:t>
      </w:r>
    </w:p>
    <w:p w14:paraId="4474843E">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w:t>
      </w:r>
    </w:p>
    <w:p w14:paraId="450206AE">
      <w:pPr>
        <w:spacing w:line="520" w:lineRule="exact"/>
        <w:ind w:left="559" w:leftChars="266"/>
        <w:rPr>
          <w:rFonts w:ascii="仿宋_GB2312" w:hAnsi="Calibri" w:eastAsia="仿宋_GB2312" w:cs="Times New Roman"/>
          <w:sz w:val="28"/>
          <w:szCs w:val="28"/>
        </w:rPr>
      </w:pPr>
      <w:r>
        <w:rPr>
          <w:rFonts w:hint="eastAsia" w:ascii="仿宋_GB2312" w:hAnsi="Calibri" w:eastAsia="仿宋_GB2312" w:cs="Times New Roman"/>
          <w:sz w:val="28"/>
          <w:szCs w:val="28"/>
        </w:rPr>
        <w:t>第N期支付时间为</w:t>
      </w:r>
      <w:r>
        <w:rPr>
          <w:rFonts w:hint="eastAsia" w:ascii="仿宋_GB2312" w:hAnsi="Calibri" w:eastAsia="仿宋_GB2312" w:cs="Times New Roman"/>
          <w:sz w:val="28"/>
          <w:szCs w:val="28"/>
          <w:u w:val="single"/>
        </w:rPr>
        <w:t>20XX</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日或达到</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支付条件，金额为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w:t>
      </w:r>
    </w:p>
    <w:p w14:paraId="79C717FA">
      <w:pPr>
        <w:adjustRightInd w:val="0"/>
        <w:spacing w:line="5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除预付款之外的款项均需在当期服务验收通过后才能予以支付，支付时间一般不超过10个工作日，预付款应在合同签订日后的10个工作日内支付。</w:t>
      </w:r>
    </w:p>
    <w:p w14:paraId="65EFB8B2">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2701F99C">
      <w:pPr>
        <w:adjustRightInd w:val="0"/>
        <w:ind w:firstLine="560" w:firstLineChars="200"/>
        <w:textAlignment w:val="baseline"/>
        <w:rPr>
          <w:rFonts w:ascii="Times New Roman" w:hAnsi="Times New Roman" w:eastAsia="仿宋_GB2312" w:cs="Times New Roman"/>
          <w:szCs w:val="24"/>
        </w:rPr>
      </w:pPr>
      <w:r>
        <w:rPr>
          <w:rFonts w:hint="eastAsia" w:ascii="仿宋_GB2312" w:hAnsi="Calibri" w:eastAsia="仿宋_GB2312" w:cs="Times New Roman"/>
          <w:sz w:val="28"/>
          <w:szCs w:val="28"/>
        </w:rPr>
        <w:t>8.6 服务期限超过一年的合同，如对乙方年度服务验收考核不合格的，甲方有权提前终止合同，相关损失由乙方承担。</w:t>
      </w:r>
    </w:p>
    <w:p w14:paraId="11D191E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50C205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3E4F23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7D1CCC2E">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r>
        <w:rPr>
          <w:rFonts w:ascii="仿宋_GB2312" w:hAnsi="Calibri" w:eastAsia="仿宋_GB2312" w:cs="Times New Roman"/>
          <w:sz w:val="28"/>
          <w:szCs w:val="28"/>
          <w:u w:val="single"/>
        </w:rPr>
        <w:t xml:space="preserve">         </w:t>
      </w:r>
    </w:p>
    <w:p w14:paraId="54D1EBB5">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r>
        <w:rPr>
          <w:rFonts w:hint="eastAsia" w:ascii="仿宋_GB2312" w:hAnsi="Calibri" w:eastAsia="仿宋_GB2312" w:cs="Times New Roman"/>
          <w:sz w:val="28"/>
          <w:szCs w:val="28"/>
          <w:u w:val="single"/>
        </w:rPr>
        <w:t xml:space="preserve">            </w:t>
      </w:r>
    </w:p>
    <w:p w14:paraId="144C674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否</w:t>
      </w:r>
    </w:p>
    <w:p w14:paraId="5222F78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w:t>
      </w:r>
    </w:p>
    <w:p w14:paraId="0C971E5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本合同附件包括：招标(采购)文件、投标（响应）文件、考核（履约验收）管理办法</w:t>
      </w:r>
    </w:p>
    <w:p w14:paraId="0A95675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p w14:paraId="76FBD035">
      <w:pPr>
        <w:spacing w:line="520" w:lineRule="exact"/>
        <w:ind w:firstLine="560" w:firstLineChars="200"/>
        <w:rPr>
          <w:rFonts w:hint="eastAsia" w:ascii="宋体" w:hAnsi="宋体" w:eastAsia="宋体" w:cs="宋体"/>
          <w:color w:val="000000"/>
          <w:sz w:val="28"/>
          <w:szCs w:val="28"/>
        </w:rPr>
      </w:pPr>
      <w:r>
        <w:rPr>
          <w:rFonts w:hint="eastAsia" w:ascii="黑体" w:hAnsi="黑体" w:eastAsia="黑体" w:cs="Times New Roman"/>
          <w:sz w:val="28"/>
          <w:szCs w:val="28"/>
        </w:rPr>
        <w:t>22.其他补充内容：</w:t>
      </w:r>
      <w:bookmarkEnd w:id="1"/>
      <w:bookmarkEnd w:id="2"/>
      <w:bookmarkEnd w:id="3"/>
      <w:bookmarkEnd w:id="4"/>
      <w:r>
        <w:rPr>
          <w:rFonts w:hint="eastAsia" w:ascii="宋体" w:hAnsi="宋体" w:eastAsia="宋体" w:cs="宋体"/>
          <w:color w:val="000000"/>
          <w:sz w:val="28"/>
          <w:szCs w:val="28"/>
        </w:rPr>
        <w:t xml:space="preserve">   </w:t>
      </w:r>
    </w:p>
    <w:p w14:paraId="356F86DA">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12952DF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00103AB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u w:val="single"/>
        </w:rPr>
        <w:t xml:space="preserve">                                                     </w:t>
      </w:r>
    </w:p>
    <w:p w14:paraId="09AA236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5F1BF4F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u w:val="single"/>
        </w:rPr>
        <w:t xml:space="preserve">                                                     </w:t>
      </w:r>
    </w:p>
    <w:p w14:paraId="4E92709C">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62F6EB1C">
      <w:pPr>
        <w:spacing w:line="520" w:lineRule="exact"/>
        <w:ind w:firstLine="560" w:firstLineChars="200"/>
        <w:rPr>
          <w:rFonts w:hint="eastAsia" w:ascii="宋体" w:hAnsi="宋体" w:eastAsia="宋体" w:cs="宋体"/>
          <w:color w:val="000000"/>
          <w:sz w:val="28"/>
          <w:szCs w:val="28"/>
        </w:rPr>
      </w:pPr>
      <w:r>
        <w:rPr>
          <w:rFonts w:hint="eastAsia" w:ascii="仿宋_GB2312" w:hAnsi="Calibri" w:eastAsia="仿宋_GB2312" w:cs="Times New Roman"/>
          <w:sz w:val="28"/>
          <w:szCs w:val="28"/>
        </w:rPr>
        <w:t>……</w:t>
      </w:r>
    </w:p>
    <w:p w14:paraId="35A6743A">
      <w:pPr>
        <w:spacing w:line="520" w:lineRule="exact"/>
        <w:ind w:firstLine="560" w:firstLineChars="200"/>
        <w:rPr>
          <w:rFonts w:hint="eastAsia" w:ascii="宋体" w:hAnsi="宋体" w:eastAsia="宋体" w:cs="宋体"/>
          <w:color w:val="000000"/>
          <w:sz w:val="28"/>
          <w:szCs w:val="28"/>
        </w:rPr>
      </w:pP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3"/>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0D79D124">
      <w:pPr>
        <w:widowControl/>
        <w:jc w:val="left"/>
        <w:rPr>
          <w:rFonts w:hint="eastAsia" w:ascii="仿宋_GB2312" w:hAnsi="宋体" w:eastAsia="仿宋_GB2312" w:cs="宋体"/>
          <w:kern w:val="0"/>
          <w:sz w:val="24"/>
        </w:rPr>
      </w:pPr>
    </w:p>
    <w:p w14:paraId="6FFBC096">
      <w:pPr>
        <w:widowControl/>
        <w:jc w:val="left"/>
        <w:rPr>
          <w:rFonts w:hint="eastAsia" w:ascii="仿宋_GB2312" w:hAnsi="宋体" w:eastAsia="仿宋_GB2312" w:cs="宋体"/>
          <w:kern w:val="0"/>
          <w:sz w:val="24"/>
        </w:rPr>
      </w:pPr>
      <w:r>
        <w:rPr>
          <w:rFonts w:ascii="仿宋_GB2312" w:hAnsi="宋体" w:eastAsia="仿宋_GB2312" w:cs="宋体"/>
          <w:kern w:val="0"/>
          <w:sz w:val="24"/>
        </w:rPr>
        <w:br w:type="page"/>
      </w:r>
    </w:p>
    <w:p w14:paraId="4446304F">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4760C"/>
    <w:rsid w:val="4D84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2025-08-11T01:13:00Z</dcterms:created>
  <dc:creator>Freya</dc:creator>
  <cp:lastModifiedBy>Freya</cp:lastModifiedBy>
  <dcterms:modified xsi:type="dcterms:W3CDTF">2025-08-11T01:14:01Z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9DE94E9F369847008EF1A2DD99C18060_11</vt:lpwstr>
  </property>
  <property fmtid="{D5CDD505-2E9C-101B-9397-08002B2CF9AE}" pid="4" name="KSOTemplateDocerSaveRecord">
    <vt:lpwstr>eyJoZGlkIjoiYzhhYjA0YTlkM2ZjYmQ5ZDg5MmQyMTViZDUyMGM3YTUiLCJ1c2VySWQiOiIzOTk3ODQyMDYifQ==</vt:lpwstr>
  </property>
</Properties>
</file>